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7C3662BA"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00C7584C">
        <w:rPr>
          <w:rFonts w:ascii="Arial" w:hAnsi="Arial"/>
          <w:b/>
          <w:sz w:val="24"/>
          <w:szCs w:val="24"/>
        </w:rPr>
        <w:t>bis</w:t>
      </w:r>
      <w:r w:rsidRPr="00B64708">
        <w:rPr>
          <w:rFonts w:ascii="Arial" w:hAnsi="Arial"/>
          <w:b/>
          <w:i/>
          <w:noProof/>
          <w:sz w:val="24"/>
          <w:szCs w:val="24"/>
        </w:rPr>
        <w:tab/>
      </w:r>
      <w:r w:rsidRPr="00A164B5">
        <w:rPr>
          <w:rFonts w:ascii="Arial" w:hAnsi="Arial"/>
          <w:b/>
          <w:sz w:val="24"/>
          <w:szCs w:val="24"/>
        </w:rPr>
        <w:t>R4-24</w:t>
      </w:r>
      <w:r w:rsidR="001F5E35" w:rsidRPr="00A164B5">
        <w:rPr>
          <w:rFonts w:ascii="Arial" w:hAnsi="Arial"/>
          <w:b/>
          <w:sz w:val="24"/>
          <w:szCs w:val="24"/>
        </w:rPr>
        <w:t>1</w:t>
      </w:r>
      <w:r w:rsidR="00A164B5" w:rsidRPr="00A164B5">
        <w:rPr>
          <w:rFonts w:ascii="Arial" w:hAnsi="Arial"/>
          <w:b/>
          <w:sz w:val="24"/>
          <w:szCs w:val="24"/>
        </w:rPr>
        <w:t>6459</w:t>
      </w:r>
    </w:p>
    <w:p w14:paraId="5D43EEDF" w14:textId="6BB05B64" w:rsidR="00BD0D23" w:rsidRPr="00B64708" w:rsidRDefault="00C7584C" w:rsidP="00BD0D23">
      <w:pPr>
        <w:spacing w:after="120"/>
        <w:outlineLvl w:val="0"/>
        <w:rPr>
          <w:rFonts w:ascii="Arial" w:hAnsi="Arial"/>
          <w:b/>
          <w:bCs/>
          <w:noProof/>
          <w:sz w:val="32"/>
          <w:szCs w:val="24"/>
        </w:rPr>
      </w:pPr>
      <w:r>
        <w:rPr>
          <w:rFonts w:ascii="Arial" w:hAnsi="Arial"/>
          <w:b/>
          <w:bCs/>
          <w:sz w:val="24"/>
          <w:szCs w:val="24"/>
        </w:rPr>
        <w:t>Hefei</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1F5E35">
        <w:rPr>
          <w:rFonts w:ascii="Arial" w:hAnsi="Arial"/>
          <w:b/>
          <w:bCs/>
          <w:sz w:val="24"/>
          <w:szCs w:val="24"/>
        </w:rPr>
        <w:t>1</w:t>
      </w:r>
      <w:r>
        <w:rPr>
          <w:rFonts w:ascii="Arial" w:hAnsi="Arial"/>
          <w:b/>
          <w:bCs/>
          <w:sz w:val="24"/>
          <w:szCs w:val="24"/>
        </w:rPr>
        <w:t>4</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18</w:t>
      </w:r>
      <w:r w:rsidR="00BD0D23" w:rsidRPr="00B64708">
        <w:rPr>
          <w:rFonts w:ascii="Arial" w:hAnsi="Arial"/>
          <w:b/>
          <w:bCs/>
          <w:sz w:val="24"/>
          <w:szCs w:val="24"/>
        </w:rPr>
        <w:t xml:space="preserve"> </w:t>
      </w:r>
      <w:r>
        <w:rPr>
          <w:rFonts w:ascii="Arial" w:hAnsi="Arial"/>
          <w:b/>
          <w:bCs/>
          <w:sz w:val="24"/>
          <w:szCs w:val="24"/>
        </w:rPr>
        <w:t>October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6C01B23D"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EA599C">
        <w:rPr>
          <w:rFonts w:ascii="Arial" w:hAnsi="Arial" w:cs="Arial"/>
          <w:sz w:val="24"/>
          <w:szCs w:val="22"/>
        </w:rPr>
        <w:t>5</w:t>
      </w:r>
      <w:r w:rsidR="00BE63E2">
        <w:rPr>
          <w:rFonts w:ascii="Arial" w:hAnsi="Arial" w:cs="Arial"/>
          <w:sz w:val="24"/>
          <w:szCs w:val="22"/>
        </w:rPr>
        <w:t>.</w:t>
      </w:r>
      <w:r w:rsidR="004B02E6">
        <w:rPr>
          <w:rFonts w:ascii="Arial" w:hAnsi="Arial" w:cs="Arial"/>
          <w:sz w:val="24"/>
          <w:szCs w:val="22"/>
        </w:rPr>
        <w:t>1</w:t>
      </w:r>
      <w:r w:rsidR="00690756">
        <w:rPr>
          <w:rFonts w:ascii="Arial" w:hAnsi="Arial" w:cs="Arial"/>
          <w:sz w:val="24"/>
          <w:szCs w:val="22"/>
        </w:rPr>
        <w:t>7</w:t>
      </w:r>
      <w:r w:rsidR="00CF7D0D">
        <w:rPr>
          <w:rFonts w:ascii="Arial" w:hAnsi="Arial" w:cs="Arial"/>
          <w:sz w:val="24"/>
          <w:szCs w:val="22"/>
        </w:rPr>
        <w:t>.</w:t>
      </w:r>
      <w:r w:rsidR="00674429">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7F44411"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4B02E6">
        <w:rPr>
          <w:rFonts w:ascii="Arial" w:hAnsi="Arial" w:cs="Arial"/>
          <w:sz w:val="24"/>
          <w:lang w:val="en-US" w:eastAsia="ja-JP"/>
        </w:rPr>
        <w:t>Co-existence considerations for the new S-band</w:t>
      </w:r>
    </w:p>
    <w:p w14:paraId="677D9182" w14:textId="165AAF6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AD0548">
        <w:rPr>
          <w:rFonts w:ascii="Arial" w:hAnsi="Arial" w:cs="Arial"/>
          <w:sz w:val="24"/>
          <w:lang w:eastAsia="ja-JP"/>
        </w:rPr>
        <w:t>Discussion</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525DBE23" w:rsidR="00284627" w:rsidRDefault="00EA599C" w:rsidP="00833CE7">
      <w:pPr>
        <w:spacing w:after="120"/>
        <w:jc w:val="both"/>
        <w:rPr>
          <w:lang w:eastAsia="ja-JP"/>
        </w:rPr>
      </w:pPr>
      <w:r>
        <w:t>The</w:t>
      </w:r>
      <w:r w:rsidR="00CF09CC">
        <w:t xml:space="preserve"> WI on </w:t>
      </w:r>
      <w:r w:rsidR="00CF09CC" w:rsidRPr="00491656">
        <w:t xml:space="preserve">Introduction of NR-NTN S-band (MSS band 2000-2020 MHz UL and 2180-2200 MHz DL) </w:t>
      </w:r>
      <w:r>
        <w:t xml:space="preserve">can be found in </w:t>
      </w:r>
      <w:r w:rsidR="00CF09CC">
        <w:t>[1].</w:t>
      </w:r>
      <w:r w:rsidR="00EF326A">
        <w:t xml:space="preserve"> The objectives include </w:t>
      </w:r>
      <w:r w:rsidR="00030631">
        <w:t>co-existence analysis, for example UE-UE co-existence, for adjacent band per RAN4 scope. In this contribution these co-existence aspects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E33AC6B" w14:textId="1FCA655A" w:rsidR="00A3411D" w:rsidRDefault="00B26CCB" w:rsidP="001F5E35">
      <w:pPr>
        <w:spacing w:after="120"/>
        <w:rPr>
          <w:bCs/>
        </w:rPr>
      </w:pPr>
      <w:r w:rsidRPr="00B26CCB">
        <w:rPr>
          <w:bCs/>
        </w:rPr>
        <w:t xml:space="preserve">In previous </w:t>
      </w:r>
      <w:r>
        <w:rPr>
          <w:bCs/>
        </w:rPr>
        <w:t xml:space="preserve">meeting it was agreed to study </w:t>
      </w:r>
      <w:r w:rsidR="00A3411D">
        <w:rPr>
          <w:bCs/>
        </w:rPr>
        <w:t>UE-to-UE coexistence between n252 UL and n25/n2 DL more in detail. The origins of the -50 dBm/MHz limit can be tracked back to 2008</w:t>
      </w:r>
      <w:r w:rsidR="00FF1A8F">
        <w:rPr>
          <w:bCs/>
        </w:rPr>
        <w:t xml:space="preserve"> [2]</w:t>
      </w:r>
      <w:r w:rsidR="0043428B">
        <w:rPr>
          <w:bCs/>
        </w:rPr>
        <w:t xml:space="preserve">. </w:t>
      </w:r>
      <w:r w:rsidR="007A286A">
        <w:rPr>
          <w:bCs/>
        </w:rPr>
        <w:t>The analysis back then was largely based on approximately 1m separation between UEs</w:t>
      </w:r>
      <w:r w:rsidR="0060450D">
        <w:rPr>
          <w:bCs/>
        </w:rPr>
        <w:t xml:space="preserve"> and assumptions on human body and antenna losses. For terrestrial networks, this </w:t>
      </w:r>
      <w:r w:rsidR="00A907A6">
        <w:rPr>
          <w:bCs/>
        </w:rPr>
        <w:t>scenario can realize e.g. in indoor environments or in a bus where multiple peop</w:t>
      </w:r>
      <w:r w:rsidR="0008196A">
        <w:rPr>
          <w:bCs/>
        </w:rPr>
        <w:t>le are using data intensive applications simultaneously.</w:t>
      </w:r>
      <w:r w:rsidR="00BB7071">
        <w:rPr>
          <w:bCs/>
        </w:rPr>
        <w:t xml:space="preserve"> Given the penetration loss of walls, it is also possible that indoors UEs both would need to use high transmit power to reach the </w:t>
      </w:r>
      <w:proofErr w:type="spellStart"/>
      <w:r w:rsidR="00BB7071">
        <w:rPr>
          <w:bCs/>
        </w:rPr>
        <w:t>gNB</w:t>
      </w:r>
      <w:proofErr w:type="spellEnd"/>
      <w:r w:rsidR="00BB7071">
        <w:rPr>
          <w:bCs/>
        </w:rPr>
        <w:t xml:space="preserve"> outdoors, as well as operate near sensitivity.</w:t>
      </w:r>
    </w:p>
    <w:p w14:paraId="4644F591" w14:textId="13DD63A4" w:rsidR="0008196A" w:rsidRDefault="0008196A" w:rsidP="001F5E35">
      <w:pPr>
        <w:spacing w:after="120"/>
        <w:rPr>
          <w:bCs/>
        </w:rPr>
      </w:pPr>
      <w:r>
        <w:rPr>
          <w:bCs/>
        </w:rPr>
        <w:t>For NTN</w:t>
      </w:r>
      <w:r w:rsidR="0002748E">
        <w:rPr>
          <w:bCs/>
        </w:rPr>
        <w:t xml:space="preserve"> outdoor environment is the typical condition. One could also expect outdoor rural conditions to be more appropriate, as </w:t>
      </w:r>
      <w:r w:rsidR="00BE62D2">
        <w:rPr>
          <w:bCs/>
        </w:rPr>
        <w:t xml:space="preserve">one would expect urban environments to have TN coverage always available. </w:t>
      </w:r>
      <w:r w:rsidR="002C0421">
        <w:rPr>
          <w:bCs/>
        </w:rPr>
        <w:t xml:space="preserve">As rural environment is very different from </w:t>
      </w:r>
      <w:r w:rsidR="001D7B17">
        <w:rPr>
          <w:bCs/>
        </w:rPr>
        <w:t xml:space="preserve">indoor environment, we did </w:t>
      </w:r>
      <w:proofErr w:type="spellStart"/>
      <w:r w:rsidR="001D7B17">
        <w:rPr>
          <w:bCs/>
        </w:rPr>
        <w:t>evalutions</w:t>
      </w:r>
      <w:proofErr w:type="spellEnd"/>
      <w:r w:rsidR="001D7B17">
        <w:rPr>
          <w:bCs/>
        </w:rPr>
        <w:t xml:space="preserve"> on how </w:t>
      </w:r>
      <w:r w:rsidR="000A720C">
        <w:rPr>
          <w:bCs/>
        </w:rPr>
        <w:t xml:space="preserve">different UE-to-UE distances and </w:t>
      </w:r>
      <w:r w:rsidR="00297D95">
        <w:rPr>
          <w:bCs/>
        </w:rPr>
        <w:t xml:space="preserve">what would need to be the emission level at UE antenna to provide same protection as </w:t>
      </w:r>
      <w:r w:rsidR="001D7B17">
        <w:rPr>
          <w:bCs/>
        </w:rPr>
        <w:t xml:space="preserve">-50 dBm/MHz requirement </w:t>
      </w:r>
      <w:r w:rsidR="00297D95">
        <w:rPr>
          <w:bCs/>
        </w:rPr>
        <w:t>does for 1m separation. We looked at different distances</w:t>
      </w:r>
      <w:r w:rsidR="00E45785">
        <w:rPr>
          <w:bCs/>
        </w:rPr>
        <w:t xml:space="preserve"> and two different propagation (path loss) models, i.e. free space and urban micro. Urban micro was included as TR 38.863 </w:t>
      </w:r>
      <w:r w:rsidR="00F902B6">
        <w:rPr>
          <w:bCs/>
        </w:rPr>
        <w:t xml:space="preserve">has documented it to be used for UE-to-UE interference in Ka-band studies. </w:t>
      </w:r>
    </w:p>
    <w:p w14:paraId="66EDFDB0" w14:textId="7E55F4E3" w:rsidR="00F902B6" w:rsidRDefault="00F902B6" w:rsidP="001F5E35">
      <w:pPr>
        <w:spacing w:after="120"/>
        <w:rPr>
          <w:bCs/>
        </w:rPr>
      </w:pPr>
      <w:r>
        <w:rPr>
          <w:bCs/>
        </w:rPr>
        <w:t>The summary of the results is provided in Table 1.</w:t>
      </w:r>
    </w:p>
    <w:p w14:paraId="463BE3AD" w14:textId="79668E77" w:rsidR="008F1D20" w:rsidRPr="009C55B9" w:rsidRDefault="009C55B9" w:rsidP="00581AB3">
      <w:pPr>
        <w:spacing w:after="120"/>
        <w:jc w:val="center"/>
        <w:rPr>
          <w:b/>
        </w:rPr>
      </w:pPr>
      <w:r w:rsidRPr="009C55B9">
        <w:rPr>
          <w:b/>
        </w:rPr>
        <w:t>Table 1:</w:t>
      </w:r>
      <w:r>
        <w:rPr>
          <w:b/>
        </w:rPr>
        <w:t xml:space="preserve"> </w:t>
      </w:r>
      <w:r w:rsidR="00581AB3">
        <w:rPr>
          <w:b/>
        </w:rPr>
        <w:t xml:space="preserve">impact </w:t>
      </w:r>
      <w:r w:rsidR="00233A6E">
        <w:rPr>
          <w:b/>
        </w:rPr>
        <w:t>of UE-to-UE separation distance to</w:t>
      </w:r>
      <w:r w:rsidR="00581AB3">
        <w:rPr>
          <w:b/>
        </w:rPr>
        <w:t xml:space="preserve"> required UE-to-UE protection limit</w:t>
      </w:r>
    </w:p>
    <w:p w14:paraId="27A4832E" w14:textId="48DB08B9" w:rsidR="00F902B6" w:rsidRDefault="00581AB3" w:rsidP="001F5E35">
      <w:pPr>
        <w:spacing w:after="120"/>
        <w:rPr>
          <w:bCs/>
        </w:rPr>
      </w:pPr>
      <w:r w:rsidRPr="00581AB3">
        <w:rPr>
          <w:noProof/>
        </w:rPr>
        <w:drawing>
          <wp:inline distT="0" distB="0" distL="0" distR="0" wp14:anchorId="5782EA48" wp14:editId="33A1E95C">
            <wp:extent cx="6120765" cy="2040255"/>
            <wp:effectExtent l="0" t="0" r="0" b="0"/>
            <wp:docPr id="7730243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2040255"/>
                    </a:xfrm>
                    <a:prstGeom prst="rect">
                      <a:avLst/>
                    </a:prstGeom>
                    <a:noFill/>
                    <a:ln>
                      <a:noFill/>
                    </a:ln>
                  </pic:spPr>
                </pic:pic>
              </a:graphicData>
            </a:graphic>
          </wp:inline>
        </w:drawing>
      </w:r>
    </w:p>
    <w:p w14:paraId="59820BE6" w14:textId="77777777" w:rsidR="00581AB3" w:rsidRDefault="00581AB3" w:rsidP="00445E27">
      <w:pPr>
        <w:spacing w:after="120"/>
        <w:rPr>
          <w:bCs/>
        </w:rPr>
      </w:pPr>
    </w:p>
    <w:p w14:paraId="16D62582" w14:textId="0690ACB4" w:rsidR="00BF4CA5" w:rsidRDefault="00581AB3" w:rsidP="00445E27">
      <w:pPr>
        <w:spacing w:after="120"/>
        <w:rPr>
          <w:bCs/>
        </w:rPr>
      </w:pPr>
      <w:r>
        <w:rPr>
          <w:bCs/>
        </w:rPr>
        <w:t xml:space="preserve">2GHz </w:t>
      </w:r>
      <w:proofErr w:type="spellStart"/>
      <w:r>
        <w:rPr>
          <w:bCs/>
        </w:rPr>
        <w:t>center</w:t>
      </w:r>
      <w:proofErr w:type="spellEnd"/>
      <w:r>
        <w:rPr>
          <w:bCs/>
        </w:rPr>
        <w:t xml:space="preserve"> frequency was used in the path loss calculation. </w:t>
      </w:r>
      <w:proofErr w:type="gramStart"/>
      <w:r>
        <w:rPr>
          <w:bCs/>
        </w:rPr>
        <w:t>It can be seen that with</w:t>
      </w:r>
      <w:proofErr w:type="gramEnd"/>
      <w:r>
        <w:rPr>
          <w:bCs/>
        </w:rPr>
        <w:t xml:space="preserve"> the assumed parameters</w:t>
      </w:r>
      <w:r w:rsidR="00447481">
        <w:rPr>
          <w:bCs/>
        </w:rPr>
        <w:t xml:space="preserve"> 1m separation distance sets the emission power to -49.7 dBm/</w:t>
      </w:r>
      <w:proofErr w:type="spellStart"/>
      <w:r w:rsidR="00447481">
        <w:rPr>
          <w:bCs/>
        </w:rPr>
        <w:t>MHz.</w:t>
      </w:r>
      <w:proofErr w:type="spellEnd"/>
      <w:r w:rsidR="00447481">
        <w:rPr>
          <w:bCs/>
        </w:rPr>
        <w:t xml:space="preserve"> At 10 m distance there is 20 dB </w:t>
      </w:r>
      <w:r w:rsidR="00A33199">
        <w:rPr>
          <w:bCs/>
        </w:rPr>
        <w:t xml:space="preserve">more power allowed assuming free space propagation. Then every doubling of the distance </w:t>
      </w:r>
      <w:r w:rsidR="00010609">
        <w:rPr>
          <w:bCs/>
        </w:rPr>
        <w:t>allows 6 dB more emissions.</w:t>
      </w:r>
      <w:r w:rsidR="00410847">
        <w:rPr>
          <w:bCs/>
        </w:rPr>
        <w:t xml:space="preserve"> For example, if 20 m would be used in deriving the </w:t>
      </w:r>
      <w:proofErr w:type="spellStart"/>
      <w:r w:rsidR="00410847">
        <w:rPr>
          <w:bCs/>
        </w:rPr>
        <w:t>coex</w:t>
      </w:r>
      <w:proofErr w:type="spellEnd"/>
      <w:r w:rsidR="00410847">
        <w:rPr>
          <w:bCs/>
        </w:rPr>
        <w:t>-limit, -24 dBm</w:t>
      </w:r>
      <w:r w:rsidR="00D50988">
        <w:rPr>
          <w:bCs/>
        </w:rPr>
        <w:t>/MHz</w:t>
      </w:r>
      <w:r w:rsidR="00410847">
        <w:rPr>
          <w:bCs/>
        </w:rPr>
        <w:t xml:space="preserve"> could be used </w:t>
      </w:r>
      <w:r w:rsidR="00D50988">
        <w:rPr>
          <w:bCs/>
        </w:rPr>
        <w:t>as the limit.</w:t>
      </w:r>
    </w:p>
    <w:p w14:paraId="4A45E701" w14:textId="716A1E7E" w:rsidR="00534782" w:rsidRPr="00534782" w:rsidRDefault="00534782" w:rsidP="00445E27">
      <w:pPr>
        <w:spacing w:after="120"/>
        <w:rPr>
          <w:b/>
        </w:rPr>
      </w:pPr>
      <w:r w:rsidRPr="00534782">
        <w:rPr>
          <w:b/>
        </w:rPr>
        <w:lastRenderedPageBreak/>
        <w:t xml:space="preserve">Observation 1: </w:t>
      </w:r>
      <w:r>
        <w:rPr>
          <w:b/>
        </w:rPr>
        <w:t xml:space="preserve">If UE-to-UE coexistence limit is based purely on distance, </w:t>
      </w:r>
      <w:r w:rsidR="004F4F23">
        <w:rPr>
          <w:b/>
        </w:rPr>
        <w:t>moving the assumption from 1m to 10m would mean 20 dB relaxation to the emission limit</w:t>
      </w:r>
      <w:r w:rsidR="009A3D0B">
        <w:rPr>
          <w:b/>
        </w:rPr>
        <w:t xml:space="preserve"> assuming free space propagation between UEs</w:t>
      </w:r>
      <w:r w:rsidR="004F4F23">
        <w:rPr>
          <w:b/>
        </w:rPr>
        <w:t>.</w:t>
      </w:r>
      <w:r w:rsidR="008A4C00">
        <w:rPr>
          <w:b/>
        </w:rPr>
        <w:t xml:space="preserve"> Moving from 1m to 20m would mean 26 dB relaxation.</w:t>
      </w:r>
    </w:p>
    <w:p w14:paraId="4A91E11D" w14:textId="5FB5237B" w:rsidR="004460F2" w:rsidRDefault="00301BA0" w:rsidP="00445E27">
      <w:pPr>
        <w:spacing w:after="120"/>
        <w:rPr>
          <w:bCs/>
        </w:rPr>
      </w:pPr>
      <w:r>
        <w:rPr>
          <w:bCs/>
        </w:rPr>
        <w:t xml:space="preserve">Secondly, we looked at the </w:t>
      </w:r>
      <w:proofErr w:type="spellStart"/>
      <w:r>
        <w:rPr>
          <w:bCs/>
        </w:rPr>
        <w:t>propability</w:t>
      </w:r>
      <w:proofErr w:type="spellEnd"/>
      <w:r>
        <w:rPr>
          <w:bCs/>
        </w:rPr>
        <w:t xml:space="preserve"> that two randomly dropped UEs are close to each other. </w:t>
      </w:r>
      <w:r w:rsidR="00B04FF2">
        <w:rPr>
          <w:bCs/>
        </w:rPr>
        <w:t>For this purpose, we simulated dropping UEs from two operators to an area of 1</w:t>
      </w:r>
      <w:r w:rsidR="00AC4EB0">
        <w:rPr>
          <w:bCs/>
        </w:rPr>
        <w:t xml:space="preserve"> </w:t>
      </w:r>
      <w:proofErr w:type="spellStart"/>
      <w:r w:rsidR="00AC4EB0">
        <w:rPr>
          <w:bCs/>
        </w:rPr>
        <w:t>sq</w:t>
      </w:r>
      <w:r w:rsidR="00B04FF2">
        <w:rPr>
          <w:bCs/>
        </w:rPr>
        <w:t>km</w:t>
      </w:r>
      <w:proofErr w:type="spellEnd"/>
      <w:r w:rsidR="00FE644B">
        <w:rPr>
          <w:bCs/>
        </w:rPr>
        <w:t xml:space="preserve">. We assumed that if </w:t>
      </w:r>
      <w:r w:rsidR="00A3124C">
        <w:rPr>
          <w:bCs/>
        </w:rPr>
        <w:t xml:space="preserve">aggressor </w:t>
      </w:r>
      <w:r w:rsidR="00FE644B">
        <w:rPr>
          <w:bCs/>
        </w:rPr>
        <w:t xml:space="preserve">UE is dropped less than 20m </w:t>
      </w:r>
      <w:r w:rsidR="00A3124C">
        <w:rPr>
          <w:bCs/>
        </w:rPr>
        <w:t xml:space="preserve">apart from a victim UE, interference is possible. This assumption is pessimistic, as </w:t>
      </w:r>
      <w:r w:rsidR="00705D5E">
        <w:rPr>
          <w:bCs/>
        </w:rPr>
        <w:t xml:space="preserve">a victim UE close to cell </w:t>
      </w:r>
      <w:proofErr w:type="spellStart"/>
      <w:r w:rsidR="00705D5E">
        <w:rPr>
          <w:bCs/>
        </w:rPr>
        <w:t>center</w:t>
      </w:r>
      <w:proofErr w:type="spellEnd"/>
      <w:r w:rsidR="00705D5E">
        <w:rPr>
          <w:bCs/>
        </w:rPr>
        <w:t xml:space="preserve"> could still perform well given the DL signal is strong. We did not this into account, but considered all cases </w:t>
      </w:r>
      <w:r w:rsidR="00AF44A7">
        <w:rPr>
          <w:bCs/>
        </w:rPr>
        <w:t xml:space="preserve">where UE-to-UE distance is less than 20m to cause interference. </w:t>
      </w:r>
      <w:r w:rsidR="004460F2">
        <w:rPr>
          <w:bCs/>
        </w:rPr>
        <w:t xml:space="preserve">An example of one drop with </w:t>
      </w:r>
      <w:r w:rsidR="00E463FE">
        <w:rPr>
          <w:bCs/>
        </w:rPr>
        <w:t>27 aggressor UEs and 9 victim UEs is shown in Figure 1.</w:t>
      </w:r>
    </w:p>
    <w:p w14:paraId="1809A02C" w14:textId="76B152CE" w:rsidR="00E463FE" w:rsidRDefault="00E463FE" w:rsidP="00E463FE">
      <w:pPr>
        <w:spacing w:after="120"/>
        <w:jc w:val="center"/>
        <w:rPr>
          <w:bCs/>
        </w:rPr>
      </w:pPr>
      <w:r w:rsidRPr="00E463FE">
        <w:rPr>
          <w:bCs/>
          <w:noProof/>
        </w:rPr>
        <w:drawing>
          <wp:inline distT="0" distB="0" distL="0" distR="0" wp14:anchorId="0BC2AD3D" wp14:editId="2CB26D0D">
            <wp:extent cx="4638770" cy="3537062"/>
            <wp:effectExtent l="0" t="0" r="0" b="6350"/>
            <wp:docPr id="2038480358" name="Picture 1" descr="A graph of a number of loc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480358" name="Picture 1" descr="A graph of a number of locations&#10;&#10;Description automatically generated"/>
                    <pic:cNvPicPr/>
                  </pic:nvPicPr>
                  <pic:blipFill>
                    <a:blip r:embed="rId8"/>
                    <a:stretch>
                      <a:fillRect/>
                    </a:stretch>
                  </pic:blipFill>
                  <pic:spPr>
                    <a:xfrm>
                      <a:off x="0" y="0"/>
                      <a:ext cx="4645362" cy="3542088"/>
                    </a:xfrm>
                    <a:prstGeom prst="rect">
                      <a:avLst/>
                    </a:prstGeom>
                  </pic:spPr>
                </pic:pic>
              </a:graphicData>
            </a:graphic>
          </wp:inline>
        </w:drawing>
      </w:r>
    </w:p>
    <w:p w14:paraId="3E1A8C58" w14:textId="7D58FB6E" w:rsidR="00E463FE" w:rsidRPr="00E463FE" w:rsidRDefault="00E463FE" w:rsidP="00E463FE">
      <w:pPr>
        <w:spacing w:after="120"/>
        <w:jc w:val="center"/>
        <w:rPr>
          <w:b/>
        </w:rPr>
      </w:pPr>
      <w:r w:rsidRPr="00E463FE">
        <w:rPr>
          <w:b/>
        </w:rPr>
        <w:t xml:space="preserve">Figure 1: Example of UE positions within 1 </w:t>
      </w:r>
      <w:proofErr w:type="spellStart"/>
      <w:r w:rsidRPr="00E463FE">
        <w:rPr>
          <w:b/>
        </w:rPr>
        <w:t>sqkm</w:t>
      </w:r>
      <w:proofErr w:type="spellEnd"/>
      <w:r w:rsidRPr="00E463FE">
        <w:rPr>
          <w:b/>
        </w:rPr>
        <w:t xml:space="preserve"> in one drop</w:t>
      </w:r>
    </w:p>
    <w:p w14:paraId="1C47344A" w14:textId="5975E27C" w:rsidR="00301BA0" w:rsidRDefault="00AF44A7" w:rsidP="00445E27">
      <w:pPr>
        <w:spacing w:after="120"/>
        <w:rPr>
          <w:bCs/>
        </w:rPr>
      </w:pPr>
      <w:r>
        <w:rPr>
          <w:bCs/>
        </w:rPr>
        <w:t xml:space="preserve">Several tens of thousands </w:t>
      </w:r>
      <w:r w:rsidR="00160C50">
        <w:rPr>
          <w:bCs/>
        </w:rPr>
        <w:t xml:space="preserve">drops with different UE densities were done. The results are summarized in Table 2, where interference probability is calculated </w:t>
      </w:r>
      <w:r w:rsidR="00834687">
        <w:rPr>
          <w:bCs/>
        </w:rPr>
        <w:t>as follows:</w:t>
      </w:r>
    </w:p>
    <w:p w14:paraId="295BDFAC" w14:textId="28A921B8" w:rsidR="00D50988" w:rsidRPr="00206DCE" w:rsidRDefault="00206DCE" w:rsidP="00445E27">
      <w:pPr>
        <w:spacing w:after="120"/>
        <w:rPr>
          <w:bCs/>
        </w:rPr>
      </w:pPr>
      <m:oMathPara>
        <m:oMath>
          <m:r>
            <w:rPr>
              <w:rFonts w:ascii="Cambria Math" w:hAnsi="Cambria Math"/>
            </w:rPr>
            <m:t xml:space="preserve">Interference probability= </m:t>
          </m:r>
          <m:f>
            <m:fPr>
              <m:ctrlPr>
                <w:rPr>
                  <w:rFonts w:ascii="Cambria Math" w:hAnsi="Cambria Math"/>
                  <w:bCs/>
                  <w:i/>
                </w:rPr>
              </m:ctrlPr>
            </m:fPr>
            <m:num>
              <m:r>
                <w:rPr>
                  <w:rFonts w:ascii="Cambria Math" w:hAnsi="Cambria Math"/>
                </w:rPr>
                <m:t>Number of victim UEs separated less than 20m from aggressor UE</m:t>
              </m:r>
            </m:num>
            <m:den>
              <m:r>
                <w:rPr>
                  <w:rFonts w:ascii="Cambria Math" w:hAnsi="Cambria Math"/>
                </w:rPr>
                <m:t>Number of all victim operator UEs</m:t>
              </m:r>
            </m:den>
          </m:f>
          <m:r>
            <w:rPr>
              <w:rFonts w:ascii="Cambria Math" w:hAnsi="Cambria Math"/>
            </w:rPr>
            <m:t>*100%</m:t>
          </m:r>
        </m:oMath>
      </m:oMathPara>
    </w:p>
    <w:p w14:paraId="4E74E54B" w14:textId="77777777" w:rsidR="00AC4EB0" w:rsidRDefault="00AC4EB0" w:rsidP="00BA183B">
      <w:pPr>
        <w:spacing w:after="120"/>
        <w:jc w:val="center"/>
        <w:rPr>
          <w:b/>
        </w:rPr>
      </w:pPr>
    </w:p>
    <w:p w14:paraId="389065CB" w14:textId="0B5B73C4" w:rsidR="00BA183B" w:rsidRPr="00BA183B" w:rsidRDefault="00BA183B" w:rsidP="00BA183B">
      <w:pPr>
        <w:spacing w:after="120"/>
        <w:jc w:val="center"/>
        <w:rPr>
          <w:b/>
        </w:rPr>
      </w:pPr>
      <w:r w:rsidRPr="00BA183B">
        <w:rPr>
          <w:b/>
        </w:rPr>
        <w:t>Table 2:</w:t>
      </w:r>
      <w:r>
        <w:rPr>
          <w:b/>
        </w:rPr>
        <w:t xml:space="preserve"> Probability</w:t>
      </w:r>
      <w:r w:rsidR="00AC4EB0">
        <w:rPr>
          <w:b/>
        </w:rPr>
        <w:t xml:space="preserve"> of UE-to-UE interference vs. number of UEs</w:t>
      </w: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600"/>
        <w:gridCol w:w="1660"/>
        <w:gridCol w:w="1342"/>
      </w:tblGrid>
      <w:tr w:rsidR="00BA183B" w:rsidRPr="00BA183B" w14:paraId="6D0A4119" w14:textId="77777777" w:rsidTr="00BA183B">
        <w:trPr>
          <w:trHeight w:val="300"/>
          <w:jc w:val="center"/>
        </w:trPr>
        <w:tc>
          <w:tcPr>
            <w:tcW w:w="960" w:type="dxa"/>
            <w:shd w:val="clear" w:color="auto" w:fill="auto"/>
            <w:noWrap/>
            <w:vAlign w:val="bottom"/>
            <w:hideMark/>
          </w:tcPr>
          <w:p w14:paraId="1206F581" w14:textId="77777777" w:rsidR="00BA183B" w:rsidRPr="00BA183B" w:rsidRDefault="00BA183B" w:rsidP="00BA183B">
            <w:pPr>
              <w:spacing w:after="0"/>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case #</w:t>
            </w:r>
          </w:p>
        </w:tc>
        <w:tc>
          <w:tcPr>
            <w:tcW w:w="1600" w:type="dxa"/>
            <w:shd w:val="clear" w:color="auto" w:fill="auto"/>
            <w:noWrap/>
            <w:vAlign w:val="bottom"/>
            <w:hideMark/>
          </w:tcPr>
          <w:p w14:paraId="30050ECF" w14:textId="77777777" w:rsidR="00BA183B" w:rsidRPr="00BA183B" w:rsidRDefault="00BA183B" w:rsidP="00BA183B">
            <w:pPr>
              <w:spacing w:after="0"/>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 of aggressor</w:t>
            </w:r>
          </w:p>
        </w:tc>
        <w:tc>
          <w:tcPr>
            <w:tcW w:w="1660" w:type="dxa"/>
            <w:shd w:val="clear" w:color="auto" w:fill="auto"/>
            <w:noWrap/>
            <w:vAlign w:val="bottom"/>
            <w:hideMark/>
          </w:tcPr>
          <w:p w14:paraId="4D15F6D6" w14:textId="77777777" w:rsidR="00BA183B" w:rsidRPr="00BA183B" w:rsidRDefault="00BA183B" w:rsidP="00BA183B">
            <w:pPr>
              <w:spacing w:after="0"/>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 of victim</w:t>
            </w:r>
          </w:p>
        </w:tc>
        <w:tc>
          <w:tcPr>
            <w:tcW w:w="1300" w:type="dxa"/>
            <w:shd w:val="clear" w:color="auto" w:fill="auto"/>
            <w:noWrap/>
            <w:vAlign w:val="bottom"/>
            <w:hideMark/>
          </w:tcPr>
          <w:p w14:paraId="5EAB4F33" w14:textId="77777777" w:rsidR="00BA183B" w:rsidRPr="00BA183B" w:rsidRDefault="00BA183B" w:rsidP="00BA183B">
            <w:pPr>
              <w:spacing w:after="0"/>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interference probability</w:t>
            </w:r>
          </w:p>
        </w:tc>
      </w:tr>
      <w:tr w:rsidR="00BA183B" w:rsidRPr="00BA183B" w14:paraId="1BD39362" w14:textId="77777777" w:rsidTr="00BA183B">
        <w:trPr>
          <w:trHeight w:val="300"/>
          <w:jc w:val="center"/>
        </w:trPr>
        <w:tc>
          <w:tcPr>
            <w:tcW w:w="960" w:type="dxa"/>
            <w:shd w:val="clear" w:color="auto" w:fill="auto"/>
            <w:noWrap/>
            <w:vAlign w:val="bottom"/>
            <w:hideMark/>
          </w:tcPr>
          <w:p w14:paraId="3D7059AA"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1</w:t>
            </w:r>
          </w:p>
        </w:tc>
        <w:tc>
          <w:tcPr>
            <w:tcW w:w="1600" w:type="dxa"/>
            <w:shd w:val="clear" w:color="auto" w:fill="auto"/>
            <w:noWrap/>
            <w:vAlign w:val="bottom"/>
            <w:hideMark/>
          </w:tcPr>
          <w:p w14:paraId="1A2C92B8"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w:t>
            </w:r>
          </w:p>
        </w:tc>
        <w:tc>
          <w:tcPr>
            <w:tcW w:w="1660" w:type="dxa"/>
            <w:shd w:val="clear" w:color="auto" w:fill="auto"/>
            <w:noWrap/>
            <w:vAlign w:val="bottom"/>
            <w:hideMark/>
          </w:tcPr>
          <w:p w14:paraId="3B056D05"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w:t>
            </w:r>
          </w:p>
        </w:tc>
        <w:tc>
          <w:tcPr>
            <w:tcW w:w="1300" w:type="dxa"/>
            <w:shd w:val="clear" w:color="auto" w:fill="auto"/>
            <w:noWrap/>
            <w:vAlign w:val="bottom"/>
            <w:hideMark/>
          </w:tcPr>
          <w:p w14:paraId="5A3419EE"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0.12%</w:t>
            </w:r>
          </w:p>
        </w:tc>
      </w:tr>
      <w:tr w:rsidR="00BA183B" w:rsidRPr="00BA183B" w14:paraId="6C9CC7AE" w14:textId="77777777" w:rsidTr="00BA183B">
        <w:trPr>
          <w:trHeight w:val="300"/>
          <w:jc w:val="center"/>
        </w:trPr>
        <w:tc>
          <w:tcPr>
            <w:tcW w:w="960" w:type="dxa"/>
            <w:shd w:val="clear" w:color="auto" w:fill="auto"/>
            <w:noWrap/>
            <w:vAlign w:val="bottom"/>
            <w:hideMark/>
          </w:tcPr>
          <w:p w14:paraId="1EC9DADD"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2</w:t>
            </w:r>
          </w:p>
        </w:tc>
        <w:tc>
          <w:tcPr>
            <w:tcW w:w="1600" w:type="dxa"/>
            <w:shd w:val="clear" w:color="auto" w:fill="auto"/>
            <w:noWrap/>
            <w:vAlign w:val="bottom"/>
            <w:hideMark/>
          </w:tcPr>
          <w:p w14:paraId="40DE15F8"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w:t>
            </w:r>
          </w:p>
        </w:tc>
        <w:tc>
          <w:tcPr>
            <w:tcW w:w="1660" w:type="dxa"/>
            <w:shd w:val="clear" w:color="auto" w:fill="auto"/>
            <w:noWrap/>
            <w:vAlign w:val="bottom"/>
            <w:hideMark/>
          </w:tcPr>
          <w:p w14:paraId="22FDA216"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27</w:t>
            </w:r>
          </w:p>
        </w:tc>
        <w:tc>
          <w:tcPr>
            <w:tcW w:w="1300" w:type="dxa"/>
            <w:shd w:val="clear" w:color="auto" w:fill="auto"/>
            <w:noWrap/>
            <w:vAlign w:val="bottom"/>
            <w:hideMark/>
          </w:tcPr>
          <w:p w14:paraId="773FFB68"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0.12%</w:t>
            </w:r>
          </w:p>
        </w:tc>
      </w:tr>
      <w:tr w:rsidR="00BA183B" w:rsidRPr="00BA183B" w14:paraId="22BDF295" w14:textId="77777777" w:rsidTr="00BA183B">
        <w:trPr>
          <w:trHeight w:val="300"/>
          <w:jc w:val="center"/>
        </w:trPr>
        <w:tc>
          <w:tcPr>
            <w:tcW w:w="960" w:type="dxa"/>
            <w:shd w:val="clear" w:color="auto" w:fill="auto"/>
            <w:noWrap/>
            <w:vAlign w:val="bottom"/>
            <w:hideMark/>
          </w:tcPr>
          <w:p w14:paraId="55A544A3"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3</w:t>
            </w:r>
          </w:p>
        </w:tc>
        <w:tc>
          <w:tcPr>
            <w:tcW w:w="1600" w:type="dxa"/>
            <w:shd w:val="clear" w:color="auto" w:fill="auto"/>
            <w:noWrap/>
            <w:vAlign w:val="bottom"/>
            <w:hideMark/>
          </w:tcPr>
          <w:p w14:paraId="404706BE"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3</w:t>
            </w:r>
          </w:p>
        </w:tc>
        <w:tc>
          <w:tcPr>
            <w:tcW w:w="1660" w:type="dxa"/>
            <w:shd w:val="clear" w:color="auto" w:fill="auto"/>
            <w:noWrap/>
            <w:vAlign w:val="bottom"/>
            <w:hideMark/>
          </w:tcPr>
          <w:p w14:paraId="7FDA8594"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w:t>
            </w:r>
          </w:p>
        </w:tc>
        <w:tc>
          <w:tcPr>
            <w:tcW w:w="1300" w:type="dxa"/>
            <w:shd w:val="clear" w:color="auto" w:fill="auto"/>
            <w:noWrap/>
            <w:vAlign w:val="bottom"/>
            <w:hideMark/>
          </w:tcPr>
          <w:p w14:paraId="7D4387CE"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0.38%</w:t>
            </w:r>
          </w:p>
        </w:tc>
      </w:tr>
      <w:tr w:rsidR="00BA183B" w:rsidRPr="00BA183B" w14:paraId="60039AF7" w14:textId="77777777" w:rsidTr="00BA183B">
        <w:trPr>
          <w:trHeight w:val="300"/>
          <w:jc w:val="center"/>
        </w:trPr>
        <w:tc>
          <w:tcPr>
            <w:tcW w:w="960" w:type="dxa"/>
            <w:shd w:val="clear" w:color="auto" w:fill="auto"/>
            <w:noWrap/>
            <w:vAlign w:val="bottom"/>
            <w:hideMark/>
          </w:tcPr>
          <w:p w14:paraId="6C1004A2"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4</w:t>
            </w:r>
          </w:p>
        </w:tc>
        <w:tc>
          <w:tcPr>
            <w:tcW w:w="1600" w:type="dxa"/>
            <w:shd w:val="clear" w:color="auto" w:fill="auto"/>
            <w:noWrap/>
            <w:vAlign w:val="bottom"/>
            <w:hideMark/>
          </w:tcPr>
          <w:p w14:paraId="3D8EB822"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3</w:t>
            </w:r>
          </w:p>
        </w:tc>
        <w:tc>
          <w:tcPr>
            <w:tcW w:w="1660" w:type="dxa"/>
            <w:shd w:val="clear" w:color="auto" w:fill="auto"/>
            <w:noWrap/>
            <w:vAlign w:val="bottom"/>
            <w:hideMark/>
          </w:tcPr>
          <w:p w14:paraId="273ABECE"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9</w:t>
            </w:r>
          </w:p>
        </w:tc>
        <w:tc>
          <w:tcPr>
            <w:tcW w:w="1300" w:type="dxa"/>
            <w:shd w:val="clear" w:color="auto" w:fill="auto"/>
            <w:noWrap/>
            <w:vAlign w:val="bottom"/>
            <w:hideMark/>
          </w:tcPr>
          <w:p w14:paraId="13B69F22"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0.36%</w:t>
            </w:r>
          </w:p>
        </w:tc>
      </w:tr>
      <w:tr w:rsidR="00BA183B" w:rsidRPr="00BA183B" w14:paraId="1659361E" w14:textId="77777777" w:rsidTr="00BA183B">
        <w:trPr>
          <w:trHeight w:val="300"/>
          <w:jc w:val="center"/>
        </w:trPr>
        <w:tc>
          <w:tcPr>
            <w:tcW w:w="960" w:type="dxa"/>
            <w:shd w:val="clear" w:color="auto" w:fill="auto"/>
            <w:noWrap/>
            <w:vAlign w:val="bottom"/>
            <w:hideMark/>
          </w:tcPr>
          <w:p w14:paraId="055CD7BE"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5</w:t>
            </w:r>
          </w:p>
        </w:tc>
        <w:tc>
          <w:tcPr>
            <w:tcW w:w="1600" w:type="dxa"/>
            <w:shd w:val="clear" w:color="auto" w:fill="auto"/>
            <w:noWrap/>
            <w:vAlign w:val="bottom"/>
            <w:hideMark/>
          </w:tcPr>
          <w:p w14:paraId="55CD379D"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3</w:t>
            </w:r>
          </w:p>
        </w:tc>
        <w:tc>
          <w:tcPr>
            <w:tcW w:w="1660" w:type="dxa"/>
            <w:shd w:val="clear" w:color="auto" w:fill="auto"/>
            <w:noWrap/>
            <w:vAlign w:val="bottom"/>
            <w:hideMark/>
          </w:tcPr>
          <w:p w14:paraId="3CDB6697"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27</w:t>
            </w:r>
          </w:p>
        </w:tc>
        <w:tc>
          <w:tcPr>
            <w:tcW w:w="1300" w:type="dxa"/>
            <w:shd w:val="clear" w:color="auto" w:fill="auto"/>
            <w:noWrap/>
            <w:vAlign w:val="bottom"/>
            <w:hideMark/>
          </w:tcPr>
          <w:p w14:paraId="47FB7F8E"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0.36%</w:t>
            </w:r>
          </w:p>
        </w:tc>
      </w:tr>
      <w:tr w:rsidR="00BA183B" w:rsidRPr="00BA183B" w14:paraId="23974291" w14:textId="77777777" w:rsidTr="00BA183B">
        <w:trPr>
          <w:trHeight w:val="300"/>
          <w:jc w:val="center"/>
        </w:trPr>
        <w:tc>
          <w:tcPr>
            <w:tcW w:w="960" w:type="dxa"/>
            <w:shd w:val="clear" w:color="auto" w:fill="auto"/>
            <w:noWrap/>
            <w:vAlign w:val="bottom"/>
            <w:hideMark/>
          </w:tcPr>
          <w:p w14:paraId="777DD3F8"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6</w:t>
            </w:r>
          </w:p>
        </w:tc>
        <w:tc>
          <w:tcPr>
            <w:tcW w:w="1600" w:type="dxa"/>
            <w:shd w:val="clear" w:color="auto" w:fill="auto"/>
            <w:noWrap/>
            <w:vAlign w:val="bottom"/>
            <w:hideMark/>
          </w:tcPr>
          <w:p w14:paraId="3139BE57"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3</w:t>
            </w:r>
          </w:p>
        </w:tc>
        <w:tc>
          <w:tcPr>
            <w:tcW w:w="1660" w:type="dxa"/>
            <w:shd w:val="clear" w:color="auto" w:fill="auto"/>
            <w:noWrap/>
            <w:vAlign w:val="bottom"/>
            <w:hideMark/>
          </w:tcPr>
          <w:p w14:paraId="0F47E327"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78</w:t>
            </w:r>
          </w:p>
        </w:tc>
        <w:tc>
          <w:tcPr>
            <w:tcW w:w="1300" w:type="dxa"/>
            <w:shd w:val="clear" w:color="auto" w:fill="auto"/>
            <w:noWrap/>
            <w:vAlign w:val="bottom"/>
            <w:hideMark/>
          </w:tcPr>
          <w:p w14:paraId="53E216F3"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0.37%</w:t>
            </w:r>
          </w:p>
        </w:tc>
      </w:tr>
      <w:tr w:rsidR="00BA183B" w:rsidRPr="00BA183B" w14:paraId="14050DFB" w14:textId="77777777" w:rsidTr="00BA183B">
        <w:trPr>
          <w:trHeight w:val="300"/>
          <w:jc w:val="center"/>
        </w:trPr>
        <w:tc>
          <w:tcPr>
            <w:tcW w:w="960" w:type="dxa"/>
            <w:shd w:val="clear" w:color="auto" w:fill="auto"/>
            <w:noWrap/>
            <w:vAlign w:val="bottom"/>
            <w:hideMark/>
          </w:tcPr>
          <w:p w14:paraId="7CE189CA"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7</w:t>
            </w:r>
          </w:p>
        </w:tc>
        <w:tc>
          <w:tcPr>
            <w:tcW w:w="1600" w:type="dxa"/>
            <w:shd w:val="clear" w:color="auto" w:fill="auto"/>
            <w:noWrap/>
            <w:vAlign w:val="bottom"/>
            <w:hideMark/>
          </w:tcPr>
          <w:p w14:paraId="737017C5"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9</w:t>
            </w:r>
          </w:p>
        </w:tc>
        <w:tc>
          <w:tcPr>
            <w:tcW w:w="1660" w:type="dxa"/>
            <w:shd w:val="clear" w:color="auto" w:fill="auto"/>
            <w:noWrap/>
            <w:vAlign w:val="bottom"/>
            <w:hideMark/>
          </w:tcPr>
          <w:p w14:paraId="2E4CD77B"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w:t>
            </w:r>
          </w:p>
        </w:tc>
        <w:tc>
          <w:tcPr>
            <w:tcW w:w="1300" w:type="dxa"/>
            <w:shd w:val="clear" w:color="auto" w:fill="auto"/>
            <w:noWrap/>
            <w:vAlign w:val="bottom"/>
            <w:hideMark/>
          </w:tcPr>
          <w:p w14:paraId="54F34759"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1.04%</w:t>
            </w:r>
          </w:p>
        </w:tc>
      </w:tr>
      <w:tr w:rsidR="00BA183B" w:rsidRPr="00BA183B" w14:paraId="6E986667" w14:textId="77777777" w:rsidTr="00BA183B">
        <w:trPr>
          <w:trHeight w:val="300"/>
          <w:jc w:val="center"/>
        </w:trPr>
        <w:tc>
          <w:tcPr>
            <w:tcW w:w="960" w:type="dxa"/>
            <w:shd w:val="clear" w:color="auto" w:fill="auto"/>
            <w:noWrap/>
            <w:vAlign w:val="bottom"/>
            <w:hideMark/>
          </w:tcPr>
          <w:p w14:paraId="20F61833"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8</w:t>
            </w:r>
          </w:p>
        </w:tc>
        <w:tc>
          <w:tcPr>
            <w:tcW w:w="1600" w:type="dxa"/>
            <w:shd w:val="clear" w:color="auto" w:fill="auto"/>
            <w:noWrap/>
            <w:vAlign w:val="bottom"/>
            <w:hideMark/>
          </w:tcPr>
          <w:p w14:paraId="1C0B10FB"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9</w:t>
            </w:r>
          </w:p>
        </w:tc>
        <w:tc>
          <w:tcPr>
            <w:tcW w:w="1660" w:type="dxa"/>
            <w:shd w:val="clear" w:color="auto" w:fill="auto"/>
            <w:noWrap/>
            <w:vAlign w:val="bottom"/>
            <w:hideMark/>
          </w:tcPr>
          <w:p w14:paraId="6F97265A"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3</w:t>
            </w:r>
          </w:p>
        </w:tc>
        <w:tc>
          <w:tcPr>
            <w:tcW w:w="1300" w:type="dxa"/>
            <w:shd w:val="clear" w:color="auto" w:fill="auto"/>
            <w:noWrap/>
            <w:vAlign w:val="bottom"/>
            <w:hideMark/>
          </w:tcPr>
          <w:p w14:paraId="14A73B3E"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1.10%</w:t>
            </w:r>
          </w:p>
        </w:tc>
      </w:tr>
      <w:tr w:rsidR="00BA183B" w:rsidRPr="00BA183B" w14:paraId="69F67EA4" w14:textId="77777777" w:rsidTr="00BA183B">
        <w:trPr>
          <w:trHeight w:val="300"/>
          <w:jc w:val="center"/>
        </w:trPr>
        <w:tc>
          <w:tcPr>
            <w:tcW w:w="960" w:type="dxa"/>
            <w:shd w:val="clear" w:color="auto" w:fill="auto"/>
            <w:noWrap/>
            <w:vAlign w:val="bottom"/>
            <w:hideMark/>
          </w:tcPr>
          <w:p w14:paraId="679D760D"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9</w:t>
            </w:r>
          </w:p>
        </w:tc>
        <w:tc>
          <w:tcPr>
            <w:tcW w:w="1600" w:type="dxa"/>
            <w:shd w:val="clear" w:color="auto" w:fill="auto"/>
            <w:noWrap/>
            <w:vAlign w:val="bottom"/>
            <w:hideMark/>
          </w:tcPr>
          <w:p w14:paraId="1EC6BBA6"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9</w:t>
            </w:r>
          </w:p>
        </w:tc>
        <w:tc>
          <w:tcPr>
            <w:tcW w:w="1660" w:type="dxa"/>
            <w:shd w:val="clear" w:color="auto" w:fill="auto"/>
            <w:noWrap/>
            <w:vAlign w:val="bottom"/>
            <w:hideMark/>
          </w:tcPr>
          <w:p w14:paraId="49198A7F"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9</w:t>
            </w:r>
          </w:p>
        </w:tc>
        <w:tc>
          <w:tcPr>
            <w:tcW w:w="1300" w:type="dxa"/>
            <w:shd w:val="clear" w:color="auto" w:fill="auto"/>
            <w:noWrap/>
            <w:vAlign w:val="bottom"/>
            <w:hideMark/>
          </w:tcPr>
          <w:p w14:paraId="73E31701"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1.09%</w:t>
            </w:r>
          </w:p>
        </w:tc>
      </w:tr>
      <w:tr w:rsidR="00BA183B" w:rsidRPr="00BA183B" w14:paraId="57B232E4" w14:textId="77777777" w:rsidTr="00BA183B">
        <w:trPr>
          <w:trHeight w:val="300"/>
          <w:jc w:val="center"/>
        </w:trPr>
        <w:tc>
          <w:tcPr>
            <w:tcW w:w="960" w:type="dxa"/>
            <w:shd w:val="clear" w:color="auto" w:fill="auto"/>
            <w:noWrap/>
            <w:vAlign w:val="bottom"/>
            <w:hideMark/>
          </w:tcPr>
          <w:p w14:paraId="30654E65" w14:textId="77777777" w:rsidR="00BA183B" w:rsidRPr="00BA183B" w:rsidRDefault="00BA183B" w:rsidP="00BA183B">
            <w:pPr>
              <w:spacing w:after="0"/>
              <w:jc w:val="right"/>
              <w:rPr>
                <w:rFonts w:ascii="Aptos Narrow" w:eastAsia="Times New Roman" w:hAnsi="Aptos Narrow"/>
                <w:b/>
                <w:bCs/>
                <w:color w:val="000000"/>
                <w:sz w:val="22"/>
                <w:szCs w:val="22"/>
                <w:lang w:val="en-US" w:eastAsia="en-US"/>
              </w:rPr>
            </w:pPr>
            <w:r w:rsidRPr="00BA183B">
              <w:rPr>
                <w:rFonts w:ascii="Aptos Narrow" w:eastAsia="Times New Roman" w:hAnsi="Aptos Narrow"/>
                <w:b/>
                <w:bCs/>
                <w:color w:val="000000"/>
                <w:sz w:val="22"/>
                <w:szCs w:val="22"/>
                <w:lang w:val="en-US" w:eastAsia="en-US"/>
              </w:rPr>
              <w:t>10</w:t>
            </w:r>
          </w:p>
        </w:tc>
        <w:tc>
          <w:tcPr>
            <w:tcW w:w="1600" w:type="dxa"/>
            <w:shd w:val="clear" w:color="auto" w:fill="auto"/>
            <w:noWrap/>
            <w:vAlign w:val="bottom"/>
            <w:hideMark/>
          </w:tcPr>
          <w:p w14:paraId="397D32FD"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9</w:t>
            </w:r>
          </w:p>
        </w:tc>
        <w:tc>
          <w:tcPr>
            <w:tcW w:w="1660" w:type="dxa"/>
            <w:shd w:val="clear" w:color="auto" w:fill="auto"/>
            <w:noWrap/>
            <w:vAlign w:val="bottom"/>
            <w:hideMark/>
          </w:tcPr>
          <w:p w14:paraId="1319D387"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27</w:t>
            </w:r>
          </w:p>
        </w:tc>
        <w:tc>
          <w:tcPr>
            <w:tcW w:w="1300" w:type="dxa"/>
            <w:shd w:val="clear" w:color="auto" w:fill="auto"/>
            <w:noWrap/>
            <w:vAlign w:val="bottom"/>
            <w:hideMark/>
          </w:tcPr>
          <w:p w14:paraId="60D49DAF" w14:textId="77777777" w:rsidR="00BA183B" w:rsidRPr="00BA183B" w:rsidRDefault="00BA183B" w:rsidP="00BA183B">
            <w:pPr>
              <w:spacing w:after="0"/>
              <w:jc w:val="right"/>
              <w:rPr>
                <w:rFonts w:ascii="Aptos Narrow" w:eastAsia="Times New Roman" w:hAnsi="Aptos Narrow"/>
                <w:color w:val="000000"/>
                <w:sz w:val="22"/>
                <w:szCs w:val="22"/>
                <w:lang w:val="en-US" w:eastAsia="en-US"/>
              </w:rPr>
            </w:pPr>
            <w:r w:rsidRPr="00BA183B">
              <w:rPr>
                <w:rFonts w:ascii="Aptos Narrow" w:eastAsia="Times New Roman" w:hAnsi="Aptos Narrow"/>
                <w:color w:val="000000"/>
                <w:sz w:val="22"/>
                <w:szCs w:val="22"/>
                <w:lang w:val="en-US" w:eastAsia="en-US"/>
              </w:rPr>
              <w:t>1.10%</w:t>
            </w:r>
          </w:p>
        </w:tc>
      </w:tr>
    </w:tbl>
    <w:p w14:paraId="1F44492B" w14:textId="77777777" w:rsidR="00BA183B" w:rsidRDefault="00BA183B" w:rsidP="00445E27">
      <w:pPr>
        <w:spacing w:after="120"/>
        <w:rPr>
          <w:bCs/>
        </w:rPr>
      </w:pPr>
    </w:p>
    <w:p w14:paraId="7800E6D2" w14:textId="77777777" w:rsidR="00AC4EB0" w:rsidRDefault="00AC4EB0" w:rsidP="00445E27">
      <w:pPr>
        <w:spacing w:after="120"/>
        <w:rPr>
          <w:bCs/>
        </w:rPr>
      </w:pPr>
      <w:r>
        <w:rPr>
          <w:bCs/>
        </w:rPr>
        <w:lastRenderedPageBreak/>
        <w:t xml:space="preserve">In this table number of aggressor UEs represents the UEs that are simultaneous scheduled in NTN UL within 1 </w:t>
      </w:r>
      <w:proofErr w:type="spellStart"/>
      <w:r>
        <w:rPr>
          <w:bCs/>
        </w:rPr>
        <w:t>sqkm</w:t>
      </w:r>
      <w:proofErr w:type="spellEnd"/>
      <w:r>
        <w:rPr>
          <w:bCs/>
        </w:rPr>
        <w:t xml:space="preserve">. Correspondingly, the number of </w:t>
      </w:r>
      <w:proofErr w:type="gramStart"/>
      <w:r>
        <w:rPr>
          <w:bCs/>
        </w:rPr>
        <w:t>victim</w:t>
      </w:r>
      <w:proofErr w:type="gramEnd"/>
      <w:r>
        <w:rPr>
          <w:bCs/>
        </w:rPr>
        <w:t xml:space="preserve"> UEs represent the number of TN UEs that are simultaneously scheduled in TN DL.</w:t>
      </w:r>
    </w:p>
    <w:p w14:paraId="47BD098B" w14:textId="1C9A40C1" w:rsidR="00AC4EB0" w:rsidRDefault="00AC4EB0" w:rsidP="00445E27">
      <w:pPr>
        <w:spacing w:after="120"/>
        <w:rPr>
          <w:bCs/>
        </w:rPr>
      </w:pPr>
      <w:r>
        <w:rPr>
          <w:bCs/>
        </w:rPr>
        <w:t xml:space="preserve">It can be seen that the interference probability </w:t>
      </w:r>
      <w:r w:rsidR="005771DF">
        <w:rPr>
          <w:bCs/>
        </w:rPr>
        <w:t xml:space="preserve">in this evaluation is linearly dependent on the number of </w:t>
      </w:r>
      <w:proofErr w:type="gramStart"/>
      <w:r w:rsidR="005771DF">
        <w:rPr>
          <w:bCs/>
        </w:rPr>
        <w:t>aggressor</w:t>
      </w:r>
      <w:proofErr w:type="gramEnd"/>
      <w:r w:rsidR="005771DF">
        <w:rPr>
          <w:bCs/>
        </w:rPr>
        <w:t xml:space="preserve"> UEs. This can be explained </w:t>
      </w:r>
      <w:r w:rsidR="00D85255">
        <w:rPr>
          <w:bCs/>
        </w:rPr>
        <w:t xml:space="preserve">so that number of </w:t>
      </w:r>
      <w:proofErr w:type="gramStart"/>
      <w:r w:rsidR="00D85255">
        <w:rPr>
          <w:bCs/>
        </w:rPr>
        <w:t>aggressor</w:t>
      </w:r>
      <w:proofErr w:type="gramEnd"/>
      <w:r w:rsidR="00D85255">
        <w:rPr>
          <w:bCs/>
        </w:rPr>
        <w:t xml:space="preserve"> UEs define the area within which the interference may occur. Given the </w:t>
      </w:r>
      <w:r w:rsidR="002A49C7">
        <w:rPr>
          <w:bCs/>
        </w:rPr>
        <w:t xml:space="preserve">uniformly random UE positions, the </w:t>
      </w:r>
      <w:proofErr w:type="spellStart"/>
      <w:r w:rsidR="002A49C7">
        <w:rPr>
          <w:bCs/>
        </w:rPr>
        <w:t>propability</w:t>
      </w:r>
      <w:proofErr w:type="spellEnd"/>
      <w:r w:rsidR="002A49C7">
        <w:rPr>
          <w:bCs/>
        </w:rPr>
        <w:t xml:space="preserve"> turns out to correspond to ratio between the “interference area” and total area.</w:t>
      </w:r>
    </w:p>
    <w:p w14:paraId="6D152B3F" w14:textId="1E0BC722" w:rsidR="000368F5" w:rsidRDefault="006F1587" w:rsidP="00445E27">
      <w:pPr>
        <w:spacing w:after="120"/>
        <w:rPr>
          <w:bCs/>
        </w:rPr>
      </w:pPr>
      <w:r>
        <w:rPr>
          <w:bCs/>
        </w:rPr>
        <w:t xml:space="preserve">Therefore, one relevant question could be how many aggressors there would be </w:t>
      </w:r>
      <w:proofErr w:type="gramStart"/>
      <w:r>
        <w:rPr>
          <w:bCs/>
        </w:rPr>
        <w:t>in a given</w:t>
      </w:r>
      <w:proofErr w:type="gramEnd"/>
      <w:r>
        <w:rPr>
          <w:bCs/>
        </w:rPr>
        <w:t xml:space="preserve"> area. TR 38.863 gives on example of LEO600 antenna pattern, </w:t>
      </w:r>
      <w:proofErr w:type="gramStart"/>
      <w:r>
        <w:rPr>
          <w:bCs/>
        </w:rPr>
        <w:t>was has</w:t>
      </w:r>
      <w:proofErr w:type="gramEnd"/>
      <w:r>
        <w:rPr>
          <w:bCs/>
        </w:rPr>
        <w:t xml:space="preserve"> 4.4 degree 3 dB beamwidth. Assuming the 3 dB beamwidth sets the cell size</w:t>
      </w:r>
      <w:r w:rsidR="00887A55">
        <w:rPr>
          <w:bCs/>
        </w:rPr>
        <w:t xml:space="preserve">, this cell would have 46km cell radius and cover 6648 </w:t>
      </w:r>
      <w:proofErr w:type="spellStart"/>
      <w:r w:rsidR="00887A55">
        <w:rPr>
          <w:bCs/>
        </w:rPr>
        <w:t>sqkm</w:t>
      </w:r>
      <w:proofErr w:type="spellEnd"/>
      <w:r w:rsidR="00887A55">
        <w:rPr>
          <w:bCs/>
        </w:rPr>
        <w:t xml:space="preserve"> of area.</w:t>
      </w:r>
      <w:r w:rsidR="00233A6E">
        <w:rPr>
          <w:bCs/>
        </w:rPr>
        <w:t xml:space="preserve"> </w:t>
      </w:r>
      <w:r w:rsidR="00C83160">
        <w:rPr>
          <w:bCs/>
        </w:rPr>
        <w:t xml:space="preserve">For a 20 MHz carrier there are </w:t>
      </w:r>
      <w:r w:rsidR="00F074D2">
        <w:rPr>
          <w:bCs/>
        </w:rPr>
        <w:t>106 resource blocks available. Rel-19 enhancements on UL capacity consider scheduling 4 UEs in a single resource block</w:t>
      </w:r>
      <w:r w:rsidR="002C3265">
        <w:rPr>
          <w:bCs/>
        </w:rPr>
        <w:t xml:space="preserve">. This would mean that 4*106 = 424 UEs could theoretically be scheduled at the same time. The resulting UE density of transmitting UEs is 0.0638 UEs per </w:t>
      </w:r>
      <w:proofErr w:type="spellStart"/>
      <w:r w:rsidR="002C3265">
        <w:rPr>
          <w:bCs/>
        </w:rPr>
        <w:t>sqkm</w:t>
      </w:r>
      <w:proofErr w:type="spellEnd"/>
      <w:r w:rsidR="002C3265">
        <w:rPr>
          <w:bCs/>
        </w:rPr>
        <w:t xml:space="preserve">. </w:t>
      </w:r>
      <w:r w:rsidR="001A5FB5">
        <w:rPr>
          <w:bCs/>
        </w:rPr>
        <w:t xml:space="preserve">If the interference probabilities for Table 2 are scaled to this UE density, interference probability </w:t>
      </w:r>
      <w:r w:rsidR="00B347A0">
        <w:rPr>
          <w:bCs/>
        </w:rPr>
        <w:t>becomes only 0.008%</w:t>
      </w:r>
    </w:p>
    <w:p w14:paraId="31CE6E2A" w14:textId="02465261" w:rsidR="003D08EA" w:rsidRDefault="003D08EA" w:rsidP="00445E27">
      <w:pPr>
        <w:spacing w:after="120"/>
        <w:rPr>
          <w:bCs/>
        </w:rPr>
      </w:pPr>
      <w:r>
        <w:rPr>
          <w:bCs/>
        </w:rPr>
        <w:t xml:space="preserve">This analysis assumes that UE locations are uniformly distributed over the area being </w:t>
      </w:r>
      <w:proofErr w:type="spellStart"/>
      <w:r>
        <w:rPr>
          <w:bCs/>
        </w:rPr>
        <w:t>analyzed</w:t>
      </w:r>
      <w:proofErr w:type="spellEnd"/>
      <w:r>
        <w:rPr>
          <w:bCs/>
        </w:rPr>
        <w:t>.</w:t>
      </w:r>
      <w:r w:rsidR="00674BE2">
        <w:rPr>
          <w:bCs/>
        </w:rPr>
        <w:t xml:space="preserve"> </w:t>
      </w:r>
      <w:r w:rsidR="00105E97">
        <w:rPr>
          <w:bCs/>
        </w:rPr>
        <w:t xml:space="preserve">The deterministic worst case where UEs are right next to each other is does take place </w:t>
      </w:r>
      <w:r w:rsidR="00AD3169">
        <w:rPr>
          <w:bCs/>
        </w:rPr>
        <w:t>in some of the drops. However, the analysis does not cover case</w:t>
      </w:r>
      <w:r w:rsidR="004B5038">
        <w:rPr>
          <w:bCs/>
        </w:rPr>
        <w:t>s</w:t>
      </w:r>
      <w:r w:rsidR="00AD3169">
        <w:rPr>
          <w:bCs/>
        </w:rPr>
        <w:t xml:space="preserve"> </w:t>
      </w:r>
      <w:r w:rsidR="004B5038">
        <w:rPr>
          <w:bCs/>
        </w:rPr>
        <w:t>where</w:t>
      </w:r>
      <w:r w:rsidR="005B429E">
        <w:rPr>
          <w:bCs/>
        </w:rPr>
        <w:t xml:space="preserve"> only a single active UE in both networks and these UEs are </w:t>
      </w:r>
      <w:r w:rsidR="007D7645">
        <w:rPr>
          <w:bCs/>
        </w:rPr>
        <w:t>right next to each other</w:t>
      </w:r>
      <w:r w:rsidR="00E73E8E">
        <w:rPr>
          <w:bCs/>
        </w:rPr>
        <w:t>, or that</w:t>
      </w:r>
      <w:r w:rsidR="004B5038">
        <w:rPr>
          <w:bCs/>
        </w:rPr>
        <w:t xml:space="preserve"> larger number of</w:t>
      </w:r>
      <w:r w:rsidR="00E73E8E">
        <w:rPr>
          <w:bCs/>
        </w:rPr>
        <w:t xml:space="preserve"> UEs would be concentrated in </w:t>
      </w:r>
      <w:r w:rsidR="004B5038">
        <w:rPr>
          <w:bCs/>
        </w:rPr>
        <w:t>hotspots</w:t>
      </w:r>
      <w:r w:rsidR="007D7645">
        <w:rPr>
          <w:bCs/>
        </w:rPr>
        <w:t>.</w:t>
      </w:r>
    </w:p>
    <w:p w14:paraId="05651315" w14:textId="519AE272" w:rsidR="004F099D" w:rsidRDefault="00656DEA" w:rsidP="00445E27">
      <w:pPr>
        <w:spacing w:after="120"/>
        <w:rPr>
          <w:b/>
        </w:rPr>
      </w:pPr>
      <w:r w:rsidRPr="00656DEA">
        <w:rPr>
          <w:b/>
        </w:rPr>
        <w:t>Observation 2:</w:t>
      </w:r>
      <w:r w:rsidR="00B347A0">
        <w:rPr>
          <w:b/>
        </w:rPr>
        <w:t xml:space="preserve"> Assuming</w:t>
      </w:r>
      <w:r w:rsidR="003D08EA">
        <w:rPr>
          <w:b/>
        </w:rPr>
        <w:t xml:space="preserve"> UE locations are </w:t>
      </w:r>
      <w:r w:rsidR="00B347A0">
        <w:rPr>
          <w:b/>
        </w:rPr>
        <w:t>uniform</w:t>
      </w:r>
      <w:r w:rsidR="003D08EA">
        <w:rPr>
          <w:b/>
        </w:rPr>
        <w:t xml:space="preserve">ly </w:t>
      </w:r>
      <w:r w:rsidR="00B347A0">
        <w:rPr>
          <w:b/>
        </w:rPr>
        <w:t>distribut</w:t>
      </w:r>
      <w:r w:rsidR="003D08EA">
        <w:rPr>
          <w:b/>
        </w:rPr>
        <w:t>ed</w:t>
      </w:r>
      <w:r w:rsidR="00B347A0">
        <w:rPr>
          <w:b/>
        </w:rPr>
        <w:t xml:space="preserve"> </w:t>
      </w:r>
      <w:r w:rsidR="00FF7C83">
        <w:rPr>
          <w:b/>
        </w:rPr>
        <w:t>with</w:t>
      </w:r>
      <w:r w:rsidR="00B347A0">
        <w:rPr>
          <w:b/>
        </w:rPr>
        <w:t xml:space="preserve">in an area, </w:t>
      </w:r>
      <w:r w:rsidR="00E95CA6">
        <w:rPr>
          <w:b/>
        </w:rPr>
        <w:t>the likelihood that active NTN UL transmis</w:t>
      </w:r>
      <w:r w:rsidR="00E4498D">
        <w:rPr>
          <w:b/>
        </w:rPr>
        <w:t xml:space="preserve">sion causes interference to TN DL is very low given the satellite beam </w:t>
      </w:r>
      <w:r w:rsidR="00FF7C83">
        <w:rPr>
          <w:b/>
        </w:rPr>
        <w:t>serves a very large area.</w:t>
      </w:r>
    </w:p>
    <w:p w14:paraId="11716DF3" w14:textId="77777777" w:rsidR="00AC4EB0" w:rsidRPr="00637ECA" w:rsidRDefault="00AC4EB0"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731CE64F" w:rsidR="00D645D7" w:rsidRDefault="005F7C8C" w:rsidP="004F6404">
      <w:pPr>
        <w:spacing w:after="120"/>
        <w:jc w:val="both"/>
        <w:rPr>
          <w:lang w:eastAsia="ja-JP"/>
        </w:rPr>
      </w:pPr>
      <w:r w:rsidRPr="00501988">
        <w:rPr>
          <w:lang w:eastAsia="ja-JP"/>
        </w:rPr>
        <w:t xml:space="preserve">In this </w:t>
      </w:r>
      <w:r w:rsidR="003D23A8">
        <w:rPr>
          <w:lang w:eastAsia="ja-JP"/>
        </w:rPr>
        <w:t>contribution co-existence between new NTN S-band and adjacent 3GPP bands</w:t>
      </w:r>
      <w:r w:rsidR="00522FB9">
        <w:rPr>
          <w:lang w:eastAsia="ja-JP"/>
        </w:rPr>
        <w:t xml:space="preserve"> </w:t>
      </w:r>
      <w:r w:rsidR="003D23A8">
        <w:rPr>
          <w:lang w:eastAsia="ja-JP"/>
        </w:rPr>
        <w:t>was</w:t>
      </w:r>
      <w:r w:rsidR="00522FB9">
        <w:rPr>
          <w:lang w:eastAsia="ja-JP"/>
        </w:rPr>
        <w:t xml:space="preserve"> discussed</w:t>
      </w:r>
      <w:r w:rsidR="00EB3836">
        <w:rPr>
          <w:lang w:eastAsia="ja-JP"/>
        </w:rPr>
        <w:t xml:space="preserve">. Following </w:t>
      </w:r>
      <w:r w:rsidR="00B26CCB">
        <w:rPr>
          <w:lang w:eastAsia="ja-JP"/>
        </w:rPr>
        <w:t xml:space="preserve">observations </w:t>
      </w:r>
      <w:r w:rsidR="00EB3836">
        <w:rPr>
          <w:lang w:eastAsia="ja-JP"/>
        </w:rPr>
        <w:t>were made</w:t>
      </w:r>
      <w:r w:rsidR="003D23A8">
        <w:rPr>
          <w:lang w:eastAsia="ja-JP"/>
        </w:rPr>
        <w:t>.</w:t>
      </w:r>
    </w:p>
    <w:p w14:paraId="5C7D44FA" w14:textId="77777777" w:rsidR="007D7645" w:rsidRPr="00534782" w:rsidRDefault="007D7645" w:rsidP="007D7645">
      <w:pPr>
        <w:spacing w:after="120"/>
        <w:rPr>
          <w:b/>
        </w:rPr>
      </w:pPr>
      <w:r w:rsidRPr="00534782">
        <w:rPr>
          <w:b/>
        </w:rPr>
        <w:t xml:space="preserve">Observation 1: </w:t>
      </w:r>
      <w:r>
        <w:rPr>
          <w:b/>
        </w:rPr>
        <w:t>If UE-to-UE coexistence limit is based purely on distance, moving the assumption from 1m to 10m would mean 20 dB relaxation to the emission limit assuming free space propagation between UEs. Moving from 1m to 20m would mean 26 dB relaxation.</w:t>
      </w:r>
    </w:p>
    <w:p w14:paraId="0ED65BBC" w14:textId="77777777" w:rsidR="007D7645" w:rsidRDefault="007D7645" w:rsidP="007D7645">
      <w:pPr>
        <w:spacing w:after="120"/>
        <w:rPr>
          <w:b/>
        </w:rPr>
      </w:pPr>
      <w:r w:rsidRPr="00656DEA">
        <w:rPr>
          <w:b/>
        </w:rPr>
        <w:t>Observation 2:</w:t>
      </w:r>
      <w:r>
        <w:rPr>
          <w:b/>
        </w:rPr>
        <w:t xml:space="preserve"> Assuming UE locations are uniformly distributed within an area, the likelihood that active NTN UL transmission causes interference to TN DL is very low given the satellite beam serves a very large area.</w:t>
      </w:r>
    </w:p>
    <w:p w14:paraId="6571B7C6" w14:textId="77777777" w:rsidR="003D23A8" w:rsidRPr="00E12796" w:rsidRDefault="003D23A8" w:rsidP="003D23A8">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696E7940" w14:textId="1637C77C" w:rsidR="00C62E96" w:rsidRDefault="00C62E96" w:rsidP="00C62E96">
      <w:pPr>
        <w:widowControl w:val="0"/>
        <w:numPr>
          <w:ilvl w:val="0"/>
          <w:numId w:val="41"/>
        </w:numPr>
        <w:overflowPunct w:val="0"/>
        <w:autoSpaceDE w:val="0"/>
        <w:autoSpaceDN w:val="0"/>
        <w:adjustRightInd w:val="0"/>
        <w:spacing w:before="120" w:after="120"/>
        <w:jc w:val="both"/>
        <w:textAlignment w:val="baseline"/>
      </w:pPr>
      <w:r>
        <w:t>RP-24</w:t>
      </w:r>
      <w:r w:rsidR="00C32922">
        <w:t>1885</w:t>
      </w:r>
      <w:r>
        <w:t xml:space="preserve">, </w:t>
      </w:r>
      <w:r w:rsidR="00C32922" w:rsidRPr="00C32922">
        <w:t>Revised WID on Introduction of another NR NTN S-band (MSS band 2000-2020 MHz UL and 2180-2200 MHz DL)</w:t>
      </w:r>
      <w:r>
        <w:t xml:space="preserve">, </w:t>
      </w:r>
      <w:r w:rsidR="00CE1369">
        <w:t>Qualcomm Incorporated</w:t>
      </w:r>
    </w:p>
    <w:p w14:paraId="5BC32A4B" w14:textId="5729FFF5" w:rsidR="00093461" w:rsidRPr="00351616" w:rsidRDefault="00351616" w:rsidP="00E73E8E">
      <w:pPr>
        <w:widowControl w:val="0"/>
        <w:numPr>
          <w:ilvl w:val="0"/>
          <w:numId w:val="41"/>
        </w:numPr>
        <w:overflowPunct w:val="0"/>
        <w:autoSpaceDE w:val="0"/>
        <w:autoSpaceDN w:val="0"/>
        <w:adjustRightInd w:val="0"/>
        <w:spacing w:before="120" w:after="120"/>
        <w:jc w:val="both"/>
        <w:textAlignment w:val="baseline"/>
      </w:pPr>
      <w:r w:rsidRPr="00351616">
        <w:t xml:space="preserve">R4-080710, </w:t>
      </w:r>
      <w:r>
        <w:t>T</w:t>
      </w:r>
      <w:r w:rsidRPr="00351616">
        <w:t>S36.101: TP for UE Spurious emission limits, Motorola</w:t>
      </w:r>
    </w:p>
    <w:sectPr w:rsidR="00093461"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77868" w14:textId="77777777" w:rsidR="00260C11" w:rsidRDefault="00260C11">
      <w:r>
        <w:separator/>
      </w:r>
    </w:p>
  </w:endnote>
  <w:endnote w:type="continuationSeparator" w:id="0">
    <w:p w14:paraId="0D092F59" w14:textId="77777777" w:rsidR="00260C11" w:rsidRDefault="00260C11">
      <w:r>
        <w:continuationSeparator/>
      </w:r>
    </w:p>
  </w:endnote>
  <w:endnote w:type="continuationNotice" w:id="1">
    <w:p w14:paraId="63EEB93E" w14:textId="77777777" w:rsidR="00260C11" w:rsidRDefault="00260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543B1" w14:textId="77777777" w:rsidR="00260C11" w:rsidRDefault="00260C11">
      <w:r>
        <w:separator/>
      </w:r>
    </w:p>
  </w:footnote>
  <w:footnote w:type="continuationSeparator" w:id="0">
    <w:p w14:paraId="7326F625" w14:textId="77777777" w:rsidR="00260C11" w:rsidRDefault="00260C11">
      <w:r>
        <w:continuationSeparator/>
      </w:r>
    </w:p>
  </w:footnote>
  <w:footnote w:type="continuationNotice" w:id="1">
    <w:p w14:paraId="66A8487B" w14:textId="77777777" w:rsidR="00260C11" w:rsidRDefault="00260C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8"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4"/>
  </w:num>
  <w:num w:numId="2" w16cid:durableId="1410541372">
    <w:abstractNumId w:val="38"/>
  </w:num>
  <w:num w:numId="3" w16cid:durableId="1813211327">
    <w:abstractNumId w:val="17"/>
  </w:num>
  <w:num w:numId="4" w16cid:durableId="689525352">
    <w:abstractNumId w:val="20"/>
  </w:num>
  <w:num w:numId="5" w16cid:durableId="923681041">
    <w:abstractNumId w:val="15"/>
  </w:num>
  <w:num w:numId="6" w16cid:durableId="1715036026">
    <w:abstractNumId w:val="36"/>
  </w:num>
  <w:num w:numId="7" w16cid:durableId="90400890">
    <w:abstractNumId w:val="22"/>
  </w:num>
  <w:num w:numId="8" w16cid:durableId="1840655891">
    <w:abstractNumId w:val="3"/>
  </w:num>
  <w:num w:numId="9" w16cid:durableId="1153717466">
    <w:abstractNumId w:val="13"/>
  </w:num>
  <w:num w:numId="10" w16cid:durableId="1982073928">
    <w:abstractNumId w:val="29"/>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6"/>
  </w:num>
  <w:num w:numId="17" w16cid:durableId="232281146">
    <w:abstractNumId w:val="7"/>
  </w:num>
  <w:num w:numId="18" w16cid:durableId="1828865731">
    <w:abstractNumId w:val="18"/>
  </w:num>
  <w:num w:numId="19" w16cid:durableId="1735346590">
    <w:abstractNumId w:val="1"/>
  </w:num>
  <w:num w:numId="20" w16cid:durableId="1670208134">
    <w:abstractNumId w:val="9"/>
  </w:num>
  <w:num w:numId="21" w16cid:durableId="81265871">
    <w:abstractNumId w:val="37"/>
  </w:num>
  <w:num w:numId="22" w16cid:durableId="399711259">
    <w:abstractNumId w:val="19"/>
  </w:num>
  <w:num w:numId="23" w16cid:durableId="1547181433">
    <w:abstractNumId w:val="25"/>
  </w:num>
  <w:num w:numId="24" w16cid:durableId="1737586952">
    <w:abstractNumId w:val="10"/>
  </w:num>
  <w:num w:numId="25" w16cid:durableId="136725342">
    <w:abstractNumId w:val="30"/>
  </w:num>
  <w:num w:numId="26" w16cid:durableId="720058865">
    <w:abstractNumId w:val="21"/>
  </w:num>
  <w:num w:numId="27" w16cid:durableId="272711782">
    <w:abstractNumId w:val="6"/>
  </w:num>
  <w:num w:numId="28" w16cid:durableId="1001855276">
    <w:abstractNumId w:val="8"/>
  </w:num>
  <w:num w:numId="29" w16cid:durableId="1378165158">
    <w:abstractNumId w:val="39"/>
  </w:num>
  <w:num w:numId="30" w16cid:durableId="129372776">
    <w:abstractNumId w:val="27"/>
  </w:num>
  <w:num w:numId="31" w16cid:durableId="1392314572">
    <w:abstractNumId w:val="26"/>
  </w:num>
  <w:num w:numId="32" w16cid:durableId="889608438">
    <w:abstractNumId w:val="34"/>
  </w:num>
  <w:num w:numId="33" w16cid:durableId="234978413">
    <w:abstractNumId w:val="11"/>
  </w:num>
  <w:num w:numId="34" w16cid:durableId="673609078">
    <w:abstractNumId w:val="23"/>
  </w:num>
  <w:num w:numId="35" w16cid:durableId="1956788686">
    <w:abstractNumId w:val="24"/>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1"/>
  </w:num>
  <w:num w:numId="40" w16cid:durableId="1999576659">
    <w:abstractNumId w:val="35"/>
  </w:num>
  <w:num w:numId="41" w16cid:durableId="565141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921"/>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A5FB5"/>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BA0"/>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533D"/>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3CE"/>
    <w:rsid w:val="00433703"/>
    <w:rsid w:val="00433D88"/>
    <w:rsid w:val="0043428B"/>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038"/>
    <w:rsid w:val="004B561B"/>
    <w:rsid w:val="004B5834"/>
    <w:rsid w:val="004B5E77"/>
    <w:rsid w:val="004B6EAB"/>
    <w:rsid w:val="004B709F"/>
    <w:rsid w:val="004B70E7"/>
    <w:rsid w:val="004C2111"/>
    <w:rsid w:val="004C2AC8"/>
    <w:rsid w:val="004C3547"/>
    <w:rsid w:val="004C3922"/>
    <w:rsid w:val="004C3EE9"/>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20AA"/>
    <w:rsid w:val="00532631"/>
    <w:rsid w:val="005329AC"/>
    <w:rsid w:val="00532B8C"/>
    <w:rsid w:val="00534081"/>
    <w:rsid w:val="005342E1"/>
    <w:rsid w:val="00534782"/>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1DF"/>
    <w:rsid w:val="0057724A"/>
    <w:rsid w:val="00580944"/>
    <w:rsid w:val="00580B10"/>
    <w:rsid w:val="0058146B"/>
    <w:rsid w:val="00581AB3"/>
    <w:rsid w:val="0058246E"/>
    <w:rsid w:val="00582A98"/>
    <w:rsid w:val="00582F5F"/>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18A"/>
    <w:rsid w:val="0069044E"/>
    <w:rsid w:val="00690756"/>
    <w:rsid w:val="0069161D"/>
    <w:rsid w:val="00691BB7"/>
    <w:rsid w:val="006928F4"/>
    <w:rsid w:val="00692A36"/>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59E6"/>
    <w:rsid w:val="006E6033"/>
    <w:rsid w:val="006E618F"/>
    <w:rsid w:val="006E6903"/>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645"/>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87A55"/>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0716"/>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7473"/>
    <w:rsid w:val="00AA0815"/>
    <w:rsid w:val="00AA0D32"/>
    <w:rsid w:val="00AA0F64"/>
    <w:rsid w:val="00AA1356"/>
    <w:rsid w:val="00AA1FFE"/>
    <w:rsid w:val="00AA22B8"/>
    <w:rsid w:val="00AA305A"/>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2607"/>
    <w:rsid w:val="00B326E9"/>
    <w:rsid w:val="00B3403D"/>
    <w:rsid w:val="00B34460"/>
    <w:rsid w:val="00B3456E"/>
    <w:rsid w:val="00B34585"/>
    <w:rsid w:val="00B347A0"/>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183B"/>
    <w:rsid w:val="00BA209F"/>
    <w:rsid w:val="00BA2B45"/>
    <w:rsid w:val="00BA38D1"/>
    <w:rsid w:val="00BA39AA"/>
    <w:rsid w:val="00BA3DEB"/>
    <w:rsid w:val="00BA3EA2"/>
    <w:rsid w:val="00BA4528"/>
    <w:rsid w:val="00BA5E01"/>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3357"/>
    <w:rsid w:val="00BF4407"/>
    <w:rsid w:val="00BF4BD5"/>
    <w:rsid w:val="00BF4CA5"/>
    <w:rsid w:val="00BF5324"/>
    <w:rsid w:val="00BF5D19"/>
    <w:rsid w:val="00BF5D90"/>
    <w:rsid w:val="00BF5FBA"/>
    <w:rsid w:val="00BF636C"/>
    <w:rsid w:val="00BF7478"/>
    <w:rsid w:val="00C00257"/>
    <w:rsid w:val="00C00E22"/>
    <w:rsid w:val="00C0105D"/>
    <w:rsid w:val="00C035DB"/>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5CA6"/>
    <w:rsid w:val="00E9627F"/>
    <w:rsid w:val="00E96AF8"/>
    <w:rsid w:val="00E97403"/>
    <w:rsid w:val="00EA0122"/>
    <w:rsid w:val="00EA0143"/>
    <w:rsid w:val="00EA05C8"/>
    <w:rsid w:val="00EA0DD8"/>
    <w:rsid w:val="00EA1C2D"/>
    <w:rsid w:val="00EA204D"/>
    <w:rsid w:val="00EA225B"/>
    <w:rsid w:val="00EA33EE"/>
    <w:rsid w:val="00EA48C8"/>
    <w:rsid w:val="00EA4E3E"/>
    <w:rsid w:val="00EA599C"/>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5FB"/>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2B6"/>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1A62"/>
    <w:rsid w:val="00FD1E57"/>
    <w:rsid w:val="00FD2533"/>
    <w:rsid w:val="00FD3291"/>
    <w:rsid w:val="00FD35A9"/>
    <w:rsid w:val="00FD3DDE"/>
    <w:rsid w:val="00FD3DE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1237</TotalTime>
  <Pages>3</Pages>
  <Words>1123</Words>
  <Characters>5694</Characters>
  <Application>Microsoft Office Word</Application>
  <DocSecurity>0</DocSecurity>
  <Lines>47</Lines>
  <Paragraphs>13</Paragraphs>
  <ScaleCrop>false</ScaleCrop>
  <Company>NEC Group</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171</cp:revision>
  <cp:lastPrinted>2012-09-28T09:55:00Z</cp:lastPrinted>
  <dcterms:created xsi:type="dcterms:W3CDTF">2024-08-01T09:45:00Z</dcterms:created>
  <dcterms:modified xsi:type="dcterms:W3CDTF">2024-10-07T14:55:00Z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